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A3F0" w14:textId="77777777" w:rsidR="00B179F6" w:rsidRDefault="00B179F6" w:rsidP="00B179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8B3C19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6E8D8C7B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повышения квалификации и переподготовки работников образования»</w:t>
      </w:r>
    </w:p>
    <w:p w14:paraId="47533F32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FAC4C63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FFB4907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62D944C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D9ED9BC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213EEFF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1C45D1D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5350F61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F9BF806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D86B45A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3C1C70C" w14:textId="77777777" w:rsidR="00B179F6" w:rsidRDefault="00B179F6" w:rsidP="00B179F6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BFDF5FF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78D2FAEB" w14:textId="45CE2B36" w:rsidR="00B179F6" w:rsidRDefault="00B179F6" w:rsidP="00B179F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«Диагностика профессиональных компетенций педагогических работников Ставропольского края (История, обществознание)»</w:t>
      </w:r>
    </w:p>
    <w:p w14:paraId="50F10DEB" w14:textId="77777777" w:rsidR="00B179F6" w:rsidRDefault="00B179F6" w:rsidP="00B179F6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AAFD6A6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6CA75D2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016D920" w14:textId="77777777" w:rsidR="00B179F6" w:rsidRDefault="00B179F6" w:rsidP="00B179F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Рассмотрено </w:t>
      </w:r>
    </w:p>
    <w:p w14:paraId="77946050" w14:textId="77777777" w:rsidR="00B179F6" w:rsidRDefault="00B179F6" w:rsidP="00B179F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на заседании Ученого Совета </w:t>
      </w:r>
    </w:p>
    <w:p w14:paraId="123FC60A" w14:textId="77777777" w:rsidR="00B179F6" w:rsidRDefault="00B179F6" w:rsidP="00B179F6">
      <w:pPr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«13» </w:t>
      </w:r>
      <w:r>
        <w:rPr>
          <w:rFonts w:ascii="Times New Roman" w:hAnsi="Times New Roman"/>
          <w:bCs/>
          <w:sz w:val="28"/>
          <w:szCs w:val="28"/>
          <w:u w:val="single"/>
        </w:rPr>
        <w:t>апреля 2022</w:t>
      </w:r>
      <w:r>
        <w:rPr>
          <w:rFonts w:ascii="Times New Roman" w:hAnsi="Times New Roman"/>
          <w:bCs/>
          <w:sz w:val="28"/>
          <w:szCs w:val="28"/>
        </w:rPr>
        <w:t xml:space="preserve"> года протокол №</w:t>
      </w:r>
      <w:r>
        <w:rPr>
          <w:rFonts w:ascii="Times New Roman" w:hAnsi="Times New Roman"/>
          <w:bCs/>
          <w:sz w:val="28"/>
          <w:szCs w:val="28"/>
          <w:u w:val="single"/>
        </w:rPr>
        <w:t>3</w:t>
      </w:r>
    </w:p>
    <w:p w14:paraId="339D338B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0CF2108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532F8F7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F85D307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BFD8F55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97076E9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A8EA9FA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E1BB3C9" w14:textId="06026D5D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62A4F25" w14:textId="402B076C" w:rsidR="00B2540A" w:rsidRDefault="00B2540A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DC890ED" w14:textId="226CB402" w:rsidR="00B2540A" w:rsidRDefault="00B2540A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F427762" w14:textId="77777777" w:rsidR="00B2540A" w:rsidRDefault="00B2540A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7CD094D" w14:textId="77777777" w:rsidR="00B179F6" w:rsidRDefault="00B179F6" w:rsidP="00B179F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FEA9C4D" w14:textId="77777777" w:rsidR="00B179F6" w:rsidRDefault="00B179F6" w:rsidP="00B179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г. Ставрополь</w:t>
      </w:r>
    </w:p>
    <w:p w14:paraId="67340ECB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866F9" w14:textId="4825CABB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B179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«Диагностика профессиональных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обществознание</w:t>
      </w:r>
      <w:r w:rsidRPr="00B179F6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B179F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50034781" w14:textId="57059BDC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9F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B179F6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B179F6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B179F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Центр непрерывного повышения профессионального мастерства педагогических работников 2021 г., 2022 г.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</w:t>
      </w:r>
      <w:r w:rsidR="008E025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0</w:t>
      </w:r>
      <w:r w:rsidRPr="00B179F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с.</w:t>
      </w:r>
      <w:r w:rsidRPr="00B17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DB1308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75D459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604E3E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4FA6A0BA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4670D151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11AF0C8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1941920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1994ACD4" w14:textId="59CBABE5" w:rsid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58E6753" w14:textId="77777777" w:rsidR="00E71E2D" w:rsidRPr="00B179F6" w:rsidRDefault="00E71E2D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7B71070" w14:textId="77777777" w:rsidR="00B179F6" w:rsidRPr="00B179F6" w:rsidRDefault="00B179F6" w:rsidP="00B1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44FE8735" w14:textId="0A3F8D94" w:rsidR="00B179F6" w:rsidRPr="00B179F6" w:rsidRDefault="00B179F6" w:rsidP="008E0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аналитической справке «Диагностика профессиональных компетенций педагогических работников Ставропольского края (</w:t>
      </w:r>
      <w:r w:rsidR="008E0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стория, обществознание</w:t>
      </w:r>
      <w:r w:rsidRPr="00B17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)» представлен </w:t>
      </w:r>
      <w:r w:rsidRPr="00B179F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уровня сформированности по </w:t>
      </w:r>
      <w:r w:rsidR="00B2540A" w:rsidRPr="00B179F6">
        <w:rPr>
          <w:rFonts w:ascii="Times New Roman" w:eastAsia="Calibri" w:hAnsi="Times New Roman" w:cs="Times New Roman"/>
          <w:sz w:val="28"/>
          <w:szCs w:val="28"/>
        </w:rPr>
        <w:t>предметной</w:t>
      </w:r>
      <w:r w:rsidR="00B254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540A" w:rsidRPr="00B179F6">
        <w:rPr>
          <w:rFonts w:ascii="Times New Roman" w:eastAsia="Calibri" w:hAnsi="Times New Roman" w:cs="Times New Roman"/>
          <w:sz w:val="28"/>
          <w:szCs w:val="28"/>
        </w:rPr>
        <w:t>методической</w:t>
      </w:r>
      <w:r w:rsidRPr="00B179F6">
        <w:rPr>
          <w:rFonts w:ascii="Times New Roman" w:eastAsia="Calibri" w:hAnsi="Times New Roman" w:cs="Times New Roman"/>
          <w:sz w:val="28"/>
          <w:szCs w:val="28"/>
        </w:rPr>
        <w:t xml:space="preserve"> компетенциям</w:t>
      </w:r>
      <w:r w:rsidR="008E0251">
        <w:rPr>
          <w:rFonts w:ascii="Times New Roman" w:eastAsia="Calibri" w:hAnsi="Times New Roman" w:cs="Times New Roman"/>
          <w:sz w:val="28"/>
          <w:szCs w:val="28"/>
        </w:rPr>
        <w:t>, а также на определение уровня сформированности функциональной грамотности.</w:t>
      </w:r>
    </w:p>
    <w:p w14:paraId="7395D318" w14:textId="104F0090" w:rsidR="00B179F6" w:rsidRPr="00B179F6" w:rsidRDefault="00B179F6" w:rsidP="00B179F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 w:rsidRPr="00B179F6">
        <w:rPr>
          <w:rFonts w:ascii="Times New Roman" w:eastAsia="Calibri" w:hAnsi="Times New Roman" w:cs="Times New Roman"/>
          <w:sz w:val="28"/>
          <w:szCs w:val="28"/>
        </w:rPr>
        <w:t xml:space="preserve">В справке систематизированы профессиональные затруднения дидактического и методического характера, а также адресные рекомендации, которые могут быть использованы для принятия управленческих решений по повышению уровня профессиональных компетенций учителей </w:t>
      </w:r>
      <w:r w:rsidR="008E0251">
        <w:rPr>
          <w:rFonts w:ascii="Times New Roman" w:eastAsia="Calibri" w:hAnsi="Times New Roman" w:cs="Times New Roman"/>
          <w:sz w:val="28"/>
          <w:szCs w:val="28"/>
        </w:rPr>
        <w:t>истории и обществознания</w:t>
      </w:r>
      <w:r w:rsidRPr="00B179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93B1A9" w14:textId="115337B7" w:rsidR="00B179F6" w:rsidRPr="00AF5B33" w:rsidRDefault="00B179F6" w:rsidP="00AF5B33">
      <w:pP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 w:rsidRPr="00B179F6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br w:type="page"/>
      </w:r>
    </w:p>
    <w:p w14:paraId="46728A14" w14:textId="7ACE739C" w:rsidR="00E617EF" w:rsidRPr="00E617EF" w:rsidRDefault="000501B7" w:rsidP="0005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профессиональных компетенций педагогических работников Ставропольского края проводилась в соответствии с приказом министерства образования Ставропольского края от 08.02.2021 года №187-пр «О создании и обеспечении функционирования центра непрерывного повышения профессионального мастерства педагогических работников в рамках реализации мероприятий по формированию и обеспечению функционирования единой федеральной системы научно-методического сопровождения педагогичек</w:t>
      </w:r>
      <w:r w:rsidRPr="000501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50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работников и управленческих кадров регионального проекта «Современная школа» национального проекта «Образования», приказа СКИРО ПК и ПРО от 03.09.2021 года №283-пр «Об утверждении плана («Дорожной карты») работы центра непрерывного повышения профессионального мастерства педагогических работников на 2021 года, приказа СКИРО ПК и ПРО от 09.02.2022 года №187-пр «Об утверждении плана («Дорожной карты») работы центра непрерывного повышения профессионального мастерства педагогических работников на 2022 года.</w:t>
      </w:r>
    </w:p>
    <w:p w14:paraId="33280B4A" w14:textId="57F6AE1A" w:rsidR="00E617EF" w:rsidRPr="00E617EF" w:rsidRDefault="00E617EF" w:rsidP="00E6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EF">
        <w:rPr>
          <w:rFonts w:ascii="Times New Roman" w:hAnsi="Times New Roman" w:cs="Times New Roman"/>
          <w:sz w:val="28"/>
          <w:szCs w:val="28"/>
        </w:rPr>
        <w:t>Цель исследования - выявление уровня сформированности общепредметных, методических компетенций учителей</w:t>
      </w:r>
      <w:r w:rsidR="007C5DE8" w:rsidRPr="007C5D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105573293"/>
      <w:r w:rsidR="007C5DE8" w:rsidRPr="007C5DE8">
        <w:rPr>
          <w:rFonts w:ascii="Times New Roman" w:hAnsi="Times New Roman" w:cs="Times New Roman"/>
          <w:bCs/>
          <w:sz w:val="28"/>
          <w:szCs w:val="28"/>
        </w:rPr>
        <w:t>истории и обществознания</w:t>
      </w:r>
      <w:r w:rsidRPr="00E617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617EF">
        <w:rPr>
          <w:rFonts w:ascii="Times New Roman" w:hAnsi="Times New Roman" w:cs="Times New Roman"/>
          <w:sz w:val="28"/>
          <w:szCs w:val="28"/>
        </w:rPr>
        <w:t>общеобразовательных организаций Ставропольского края. Задачи исследования:</w:t>
      </w:r>
    </w:p>
    <w:p w14:paraId="2245F08C" w14:textId="7C4E1465" w:rsidR="00E617EF" w:rsidRPr="00E617EF" w:rsidRDefault="00E617EF" w:rsidP="001C1474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общепредметных компетенций учителей </w:t>
      </w:r>
      <w:r w:rsidR="007C5DE8" w:rsidRPr="007C5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и обществознания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29FC74" w14:textId="7F7EE874" w:rsidR="00E617EF" w:rsidRPr="00E617EF" w:rsidRDefault="00E617EF" w:rsidP="001C1474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методических компетенций учителей </w:t>
      </w:r>
      <w:r w:rsidR="007C5DE8" w:rsidRPr="007C5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и обществознания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C6E6EE" w14:textId="05F04C90" w:rsidR="00E617EF" w:rsidRPr="00E617EF" w:rsidRDefault="00E617EF" w:rsidP="001C1474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компетенций учителей </w:t>
      </w:r>
      <w:r w:rsidR="007C5DE8" w:rsidRPr="007C5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и обществознания</w:t>
      </w:r>
      <w:r w:rsidR="007C5DE8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формирования </w:t>
      </w:r>
      <w:r w:rsidR="007C5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грамотности обучающихся;</w:t>
      </w:r>
    </w:p>
    <w:p w14:paraId="0A95E473" w14:textId="77777777" w:rsidR="00E617EF" w:rsidRPr="00E617EF" w:rsidRDefault="00E617EF" w:rsidP="001C1474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факторы, влияющие на уровень сформированности компетенций; определить направления совершенствования профессионального мастерства с учетом современных требований к образовательным результатам;</w:t>
      </w:r>
    </w:p>
    <w:p w14:paraId="3369B4CB" w14:textId="0CF4D062" w:rsidR="00E617EF" w:rsidRPr="00E617EF" w:rsidRDefault="00E617EF" w:rsidP="001C1474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перспективные направления работы методистов и тьюторов ЦНППМ с учителями </w:t>
      </w:r>
      <w:r w:rsidR="000E4019" w:rsidRPr="000E4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и обществознания</w:t>
      </w:r>
      <w:r w:rsidR="000E4019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преодолению профессиональных дефицитов.</w:t>
      </w:r>
    </w:p>
    <w:p w14:paraId="45DD42C2" w14:textId="672B6F14" w:rsidR="001C1474" w:rsidRPr="001C1474" w:rsidRDefault="00E617EF" w:rsidP="001C1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учителей проводилось по контрольно-измерительным материалам, размещенным в информационной системе ЦНППМ.</w:t>
      </w:r>
      <w:r w:rsid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474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диагностической работы охватывают основное содержание учебн</w:t>
      </w:r>
      <w:r w:rsidR="00867C8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C1474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867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C1474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«История» </w:t>
      </w:r>
      <w:r w:rsidR="0086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«Обществознание» </w:t>
      </w:r>
      <w:r w:rsidR="001C1474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единстве содержательного и деятельностного компонентов и опираются на теорию и методику обучения по предмет</w:t>
      </w:r>
      <w:r w:rsidR="00867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C1474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метапредметные планируемые образовательные результаты обучающихся в соответствии с ФГОС общего образования. </w:t>
      </w:r>
    </w:p>
    <w:p w14:paraId="48997F8C" w14:textId="56A9EF66" w:rsidR="00E617EF" w:rsidRPr="00E617EF" w:rsidRDefault="00E617EF" w:rsidP="00F3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 содержат задачи с простым и сложным, одиночным и множественным выбором ответов. </w:t>
      </w:r>
      <w:r w:rsidR="0026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работа </w:t>
      </w:r>
      <w:r w:rsidR="00867C8B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истории состо</w:t>
      </w:r>
      <w:r w:rsidR="0026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C8B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 двух частей</w:t>
      </w:r>
      <w:r w:rsidR="0026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предметной и методической</w:t>
      </w:r>
      <w:r w:rsidR="004B11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</w:t>
      </w:r>
      <w:r w:rsidR="00867C8B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4B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B11C8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67C8B"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1ПК-10ПК нацелены на проверку уровня </w:t>
      </w:r>
      <w:r w:rsidR="00F31D22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общепредметных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учителей </w:t>
      </w:r>
      <w:r w:rsidR="00BA65FA" w:rsidRPr="00BA6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и обществознания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3BD85D" w14:textId="27220A6D" w:rsidR="000B2998" w:rsidRPr="00E60482" w:rsidRDefault="00E617EF" w:rsidP="000B299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1ПК </w:t>
      </w:r>
      <w:r w:rsidR="000B2998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предполагало</w:t>
      </w:r>
      <w:r w:rsidR="000B2998" w:rsidRPr="00E60482">
        <w:rPr>
          <w:rFonts w:ascii="Times New Roman" w:hAnsi="Times New Roman" w:cs="Times New Roman"/>
          <w:sz w:val="28"/>
          <w:szCs w:val="28"/>
        </w:rPr>
        <w:t xml:space="preserve"> выявление компетенций педагогов </w:t>
      </w:r>
      <w:r w:rsidR="00E60482" w:rsidRPr="00E60482">
        <w:rPr>
          <w:rFonts w:ascii="Times New Roman" w:hAnsi="Times New Roman" w:cs="Times New Roman"/>
          <w:sz w:val="28"/>
          <w:szCs w:val="28"/>
        </w:rPr>
        <w:t xml:space="preserve">при </w:t>
      </w:r>
      <w:r w:rsidR="000B2998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E60482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2998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графическими объектами.</w:t>
      </w:r>
      <w:r w:rsidR="001E2B41" w:rsidRPr="001E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задания:</w:t>
      </w:r>
      <w:r w:rsidR="000B2998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82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B2998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выбрать правильный ответ из предложенного перечня с опорой на представленное фото </w:t>
      </w:r>
      <w:r w:rsidR="000B2998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архитектурного сооружения или назвать страну, в которой находятся указанные на фото объекты.</w:t>
      </w:r>
      <w:r w:rsidR="00EB3957" w:rsidRPr="00EB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57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выполнения задания – 8</w:t>
      </w:r>
      <w:r w:rsidR="00EB3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957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является высоким показателем и свидетельствует о том, что предметные компетенции в области </w:t>
      </w:r>
      <w:r w:rsidR="00EB3957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EB39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957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графическими объектами</w:t>
      </w:r>
      <w:r w:rsidR="00EB3957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у испытуемых на высоком уровне.</w:t>
      </w:r>
    </w:p>
    <w:p w14:paraId="2CA5BEC3" w14:textId="62E961C7" w:rsidR="00057D97" w:rsidRPr="00057D97" w:rsidRDefault="00EB3957" w:rsidP="00057D9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2ПК</w:t>
      </w:r>
      <w:r w:rsidR="00057D97" w:rsidRPr="00057D97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="00057D97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соответствия между</w:t>
      </w:r>
      <w:r w:rsidR="00057D97" w:rsidRPr="000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историческими событиями и персоналиями. </w:t>
      </w:r>
      <w:r w:rsidR="001E2B41" w:rsidRPr="001E2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задания:</w:t>
      </w:r>
      <w:r w:rsidR="001E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97" w:rsidRPr="000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блок из трех вопросов: а) следует установить соответствие между событиями и изображениями, исключив одно лишнее; б) прочитать отрывки из исторических источников и определить, о каких событиях (процессах) из предложенного перечня они повествуют; в) установить соответствие между историческими событиями и историческими личностями – современниками и участниками указанных событий.</w:t>
      </w:r>
      <w:r w:rsidR="0049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выполнением задания 52% участников. </w:t>
      </w:r>
      <w:r w:rsidR="00497D01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результат объясняется</w:t>
      </w:r>
      <w:r w:rsidR="0049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сложностью построения задания. </w:t>
      </w:r>
      <w:r w:rsidR="00497D01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Анализу подобных конструкций уделяется особое внимание в период подготовки к ГИА </w:t>
      </w:r>
      <w:r w:rsidR="00FC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ЕГЭ </w:t>
      </w:r>
      <w:r w:rsidR="00497D01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12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497D01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ошибочные ответы дали педагоги, не имеющие подобного опыта работы.</w:t>
      </w:r>
    </w:p>
    <w:p w14:paraId="7666C06D" w14:textId="37133220" w:rsidR="00F31D22" w:rsidRDefault="00FC1269" w:rsidP="00E617E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3ПК было нацелено на определение уровня сформированности компетенций в области</w:t>
      </w:r>
      <w:r w:rsidR="00B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исторического источника. </w:t>
      </w:r>
      <w:r w:rsidR="00B567C4" w:rsidRPr="00E60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задания:</w:t>
      </w:r>
    </w:p>
    <w:p w14:paraId="0812B086" w14:textId="02BFA50A" w:rsidR="00FC1269" w:rsidRDefault="00FC1269" w:rsidP="00B567C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B5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C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мнение отечественных историков по «трудному» вопросу истории России, на основе фото определить автора текста и дату его написания.</w:t>
      </w:r>
      <w:r w:rsidR="00F060E6" w:rsidRPr="00F0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0E6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верного выполнения </w:t>
      </w:r>
      <w:r w:rsidR="00F0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F060E6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F060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60E6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- 86%</w:t>
      </w:r>
      <w:r w:rsidR="00F0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сделать вывод о высоком уровне </w:t>
      </w:r>
      <w:r w:rsidR="006062F4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r w:rsidR="0060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компетенции.</w:t>
      </w:r>
    </w:p>
    <w:p w14:paraId="3B364B62" w14:textId="1CBAED30" w:rsidR="006062F4" w:rsidRPr="006062F4" w:rsidRDefault="006062F4" w:rsidP="006062F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4ПК предполагало практическое применение знаний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событиях отечественной истории путем </w:t>
      </w:r>
      <w:r w:rsidRPr="0060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853F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верных суждений из предложенного списка или поиск</w:t>
      </w:r>
      <w:r w:rsidR="00853F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по карте.</w:t>
      </w:r>
      <w:r w:rsidR="008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35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</w:t>
      </w:r>
      <w:r w:rsidR="00853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53F35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7</w:t>
      </w:r>
      <w:r w:rsidR="00853F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3F35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учителей. Данный показатель свидетельствует о том, что большая часть испытуемых безошибочно соотносит</w:t>
      </w:r>
      <w:r w:rsidR="008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события с исторической картой.</w:t>
      </w:r>
    </w:p>
    <w:p w14:paraId="5E16A887" w14:textId="05DB062E" w:rsidR="00920588" w:rsidRDefault="00331071" w:rsidP="0092058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заключалось в реализации умения соотносить</w:t>
      </w:r>
      <w:r w:rsidR="00920588" w:rsidRPr="00920588">
        <w:rPr>
          <w:rFonts w:ascii="Times New Roman" w:hAnsi="Times New Roman" w:cs="Times New Roman"/>
          <w:sz w:val="24"/>
          <w:szCs w:val="24"/>
        </w:rPr>
        <w:t xml:space="preserve"> </w:t>
      </w:r>
      <w:r w:rsidR="00920588" w:rsidRPr="0092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</w:t>
      </w:r>
      <w:r w:rsidR="0092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исторического </w:t>
      </w:r>
      <w:r w:rsidR="00920588" w:rsidRPr="0092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 </w:t>
      </w:r>
      <w:r w:rsidR="0092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20588" w:rsidRPr="00920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r w:rsidR="00920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20588" w:rsidRPr="0092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современников описываемых событий</w:t>
      </w:r>
      <w:r w:rsidR="0092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3C4F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выполнили задание 7</w:t>
      </w:r>
      <w:r w:rsidR="008D3C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3C4F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802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испытуемых. Достаточно</w:t>
      </w:r>
      <w:r w:rsidR="008D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2DD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</w:t>
      </w:r>
      <w:r w:rsidR="00C8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="00C802DD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объясняется системным характером работы </w:t>
      </w:r>
      <w:r w:rsidR="00EB7EB2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по</w:t>
      </w:r>
      <w:r w:rsidR="00C802DD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навыков </w:t>
      </w:r>
      <w:r w:rsidR="00C80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историческими источниками.</w:t>
      </w:r>
    </w:p>
    <w:p w14:paraId="2B77F746" w14:textId="4E0E5F30" w:rsidR="00C802DD" w:rsidRDefault="00EB7EB2" w:rsidP="0092058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6ПК </w:t>
      </w:r>
      <w:r w:rsidR="00693C15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 на определение уровня сформированности компетенций в области</w:t>
      </w:r>
      <w:r w:rsidRPr="00EB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исторической лексик</w:t>
      </w:r>
      <w:r w:rsidR="00EE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EB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</w:t>
      </w:r>
      <w:r w:rsidR="00EE5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B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социально-исторические феномены</w:t>
      </w:r>
      <w:r w:rsidR="00EE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образованные от имен и фамилий исторических личностей. </w:t>
      </w:r>
      <w:r w:rsidR="005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выполнения задания педагоги показали средний результат – </w:t>
      </w:r>
      <w:r w:rsidR="00783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7C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393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8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достаточный уровень </w:t>
      </w:r>
      <w:r w:rsidR="00366DCF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r w:rsidR="0036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компетенции.</w:t>
      </w:r>
    </w:p>
    <w:p w14:paraId="57F40FB1" w14:textId="1D7C8521" w:rsidR="008E0B30" w:rsidRDefault="001A3FFC" w:rsidP="0092058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7ПК </w:t>
      </w:r>
      <w:r w:rsidR="008E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предполагало выявление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сформированности</w:t>
      </w:r>
      <w:r w:rsidR="008E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 понятийного аппарата. 90% участников продемонстрировали достаточно высокий уровень владения</w:t>
      </w:r>
      <w:r w:rsidR="00FC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историческими понятиями</w:t>
      </w:r>
      <w:r w:rsidR="008E0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69BD7" w14:textId="754E1C56" w:rsidR="001A3FFC" w:rsidRDefault="00FC5F11" w:rsidP="0092058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установление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событиями, процессами и явлениями. </w:t>
      </w:r>
      <w:r w:rsidRPr="001E2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задания:</w:t>
      </w:r>
      <w:r w:rsidR="000A7AA8" w:rsidRPr="000A7AA8">
        <w:rPr>
          <w:rFonts w:ascii="Times New Roman" w:hAnsi="Times New Roman" w:cs="Times New Roman"/>
          <w:sz w:val="24"/>
          <w:szCs w:val="24"/>
        </w:rPr>
        <w:t xml:space="preserve"> </w:t>
      </w:r>
      <w:r w:rsidR="000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7AA8" w:rsidRPr="000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приведенном списке событий, явлений, процессов найдите два, связанных между собой как причина и </w:t>
      </w:r>
      <w:r w:rsidR="000A7AA8" w:rsidRPr="000A7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</w:t>
      </w:r>
      <w:r w:rsidR="000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0A7AA8" w:rsidRPr="000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последовательно цифры, которыми они обозначены, отразив эту связь.</w:t>
      </w:r>
      <w:r w:rsidR="000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AA8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результат выполнения </w:t>
      </w:r>
      <w:r w:rsidR="00482A14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- 61</w:t>
      </w:r>
      <w:r w:rsidR="000A7AA8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показывает, что около половины </w:t>
      </w:r>
      <w:r w:rsidR="000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опрошенных </w:t>
      </w:r>
      <w:r w:rsidR="000A7AA8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неверно </w:t>
      </w:r>
      <w:r w:rsidR="00961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взаимосвязь, что можно объяснить недостаточными знаниями</w:t>
      </w:r>
      <w:r w:rsidR="0048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событий, процессов и явлений.</w:t>
      </w:r>
    </w:p>
    <w:p w14:paraId="0F13F722" w14:textId="3D21B3A6" w:rsidR="00482A14" w:rsidRDefault="00482A14" w:rsidP="0092058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направлено на проверку сформированности компетенций в области владения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3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датами, умения </w:t>
      </w:r>
      <w:r w:rsidR="006C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события с образами и символами, изображенными на графических объектах,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их в хронологической по</w:t>
      </w:r>
      <w:r w:rsidR="00194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следовательности.</w:t>
      </w:r>
      <w:r w:rsidR="005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Серьезных затруднений при выполнении этого задания педагоги не </w:t>
      </w:r>
      <w:r w:rsidR="0064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испытывали, </w:t>
      </w:r>
      <w:r w:rsidR="0064761E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594901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35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594901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19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901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5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23415F" w14:textId="05615958" w:rsidR="001A3FFC" w:rsidRPr="00920588" w:rsidRDefault="001A3FFC" w:rsidP="00920588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нацелено на выявление компетенций в области владения теоретическими знаниями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r w:rsidR="0064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и всеобщей истории. Большинство педагогов показали устойчивый уровень знаний – 79%.</w:t>
      </w:r>
    </w:p>
    <w:p w14:paraId="1D72B6BD" w14:textId="1D54EB5E" w:rsidR="00730D1B" w:rsidRDefault="00730D1B" w:rsidP="00730D1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5595306"/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11МК-1</w:t>
      </w:r>
      <w:r w:rsidR="007C27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 проверяют уровень сформированности методических компетенций педагогов.</w:t>
      </w:r>
    </w:p>
    <w:p w14:paraId="54D9446E" w14:textId="20E54DBD" w:rsidR="00730D1B" w:rsidRPr="00730D1B" w:rsidRDefault="00730D1B" w:rsidP="007C276A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11МК нацелено на реализацию компетентности в области отбора </w:t>
      </w:r>
      <w:r w:rsidR="007C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для проведения уроков в сильном и слабом классе. Процент верного выполнения заданий – </w:t>
      </w:r>
      <w:r w:rsidR="007C276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7C276A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ниже </w:t>
      </w:r>
      <w:r w:rsidR="007C276A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и</w:t>
      </w: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r w:rsidR="00344C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 о том, что в практике работы учителя редко проводят дифференциацию организации работы и подбора учебного материала в классах с высоким и низким уровнем предметной подготовки.</w:t>
      </w:r>
    </w:p>
    <w:p w14:paraId="2E230CA6" w14:textId="681EE771" w:rsidR="00730D1B" w:rsidRPr="00730D1B" w:rsidRDefault="00730D1B" w:rsidP="00806C01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12 МК предполагает реализацию компетентности в области планирования и организации процесса изучения учебного материала. С заданием справились 5</w:t>
      </w:r>
      <w:r w:rsidR="00806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% испытуемых. Средний показатель свидетельствует о том, что половина учителей не имеет опыта самостоятельного планирования учебного материала, что создает риски нарушения принципа системности обучения.</w:t>
      </w:r>
    </w:p>
    <w:p w14:paraId="0FF5738A" w14:textId="2BEBB183" w:rsidR="00806C01" w:rsidRDefault="00806C01" w:rsidP="00730D1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13МК</w:t>
      </w:r>
      <w:r w:rsidR="00D0745E" w:rsidRP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45E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C4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правлено</w:t>
      </w:r>
      <w:r w:rsidR="00D0745E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C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34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сформированности </w:t>
      </w:r>
      <w:r w:rsidR="00CC4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компетентности</w:t>
      </w:r>
      <w:r w:rsidR="00D0745E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r w:rsidR="0034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работы </w:t>
      </w:r>
      <w:r w:rsid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составлением рабочей программы, </w:t>
      </w:r>
      <w:r w:rsidR="005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="00D0745E" w:rsidRP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</w:t>
      </w:r>
      <w:r w:rsid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D0745E" w:rsidRP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логичность и целесообразность</w:t>
      </w:r>
      <w:r w:rsid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учебных разделов и тем в целях </w:t>
      </w:r>
      <w:r w:rsidR="00D0745E" w:rsidRP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0745E" w:rsidRP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</w:t>
      </w:r>
      <w:r w:rsid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745E" w:rsidRP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результатов</w:t>
      </w:r>
      <w:r w:rsidR="00D0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4C5C">
        <w:rPr>
          <w:rFonts w:ascii="Times New Roman" w:eastAsia="Times New Roman" w:hAnsi="Times New Roman" w:cs="Times New Roman"/>
          <w:sz w:val="28"/>
          <w:szCs w:val="28"/>
          <w:lang w:eastAsia="ru-RU"/>
        </w:rPr>
        <w:t>60% опрошенных верно выполнили данное задание</w:t>
      </w:r>
      <w:r w:rsid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 40% испытывают дефицит данной компетенции.</w:t>
      </w:r>
    </w:p>
    <w:p w14:paraId="11D45543" w14:textId="1486E47F" w:rsidR="001D26F6" w:rsidRDefault="001D26F6" w:rsidP="001A438C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14 МК </w:t>
      </w:r>
      <w:r w:rsidR="005C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ориентировано на умение педагога грамотно </w:t>
      </w:r>
      <w:r w:rsidR="00DF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9551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«трудных вопросов истории», содержащихся в «Историко-культурном стандарте», </w:t>
      </w:r>
      <w:r w:rsidR="00DF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F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возрастом </w:t>
      </w:r>
      <w:r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C230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DF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программой.</w:t>
      </w:r>
      <w:r w:rsidR="00DF1545" w:rsidRPr="00DF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45"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успешно справились 7</w:t>
      </w:r>
      <w:r w:rsidR="00DF15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1545"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учителей.</w:t>
      </w:r>
      <w:r w:rsidR="00C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23050"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ысокий </w:t>
      </w:r>
      <w:r w:rsidR="00C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3050"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свидетельствует о сформированности компетенций, определяющих построение </w:t>
      </w:r>
      <w:r w:rsidR="00C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C23050"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основе принципов системности,</w:t>
      </w:r>
      <w:r w:rsidR="00C23050" w:rsidRPr="00C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050"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последовательности, опоры на </w:t>
      </w:r>
      <w:r w:rsidR="00DD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C23050" w:rsidRPr="001D2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изученный материал</w:t>
      </w:r>
      <w:r w:rsidR="001A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0DE41" w14:textId="1BF5F352" w:rsidR="00A80C07" w:rsidRDefault="00370401" w:rsidP="00CC4420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7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нацелено на выявление умений учителя </w:t>
      </w:r>
      <w:r w:rsidR="00A80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учебной</w:t>
      </w:r>
      <w:r w:rsidR="006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обучающихся </w:t>
      </w:r>
      <w:r w:rsidR="00A80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</w:t>
      </w:r>
      <w:r w:rsidR="00A80C07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8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A80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A80C07" w:rsidRPr="00A80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</w:t>
      </w:r>
      <w:r w:rsidR="00662C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0C07" w:rsidRPr="00A8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</w:t>
      </w:r>
      <w:r w:rsidR="00662C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0C07" w:rsidRPr="00A80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учитывать особенности организации урока</w:t>
      </w:r>
      <w:r w:rsidR="006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36% учителей смогли верно выполнить задание. Данный результат подтверждает тот факт, что в </w:t>
      </w:r>
      <w:r w:rsidR="000650B0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работы </w:t>
      </w:r>
      <w:r w:rsidR="001E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половины </w:t>
      </w:r>
      <w:r w:rsidR="000650B0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</w:t>
      </w:r>
      <w:r w:rsidR="001E12E4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не учитывают уровень</w:t>
      </w:r>
      <w:r w:rsidR="000650B0" w:rsidRPr="0073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качества знаний учеников.</w:t>
      </w:r>
      <w:r w:rsidR="008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данный фактор отрицательно сказывается на эффективности учебного процесса.</w:t>
      </w:r>
    </w:p>
    <w:bookmarkEnd w:id="1"/>
    <w:p w14:paraId="55A80936" w14:textId="1014A6EE" w:rsidR="00E617EF" w:rsidRPr="00E617EF" w:rsidRDefault="00F172D5" w:rsidP="00F172D5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Диагностическая работа </w:t>
      </w:r>
      <w:r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обществознанию </w:t>
      </w:r>
      <w:r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 w:rsidRP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 двух частей</w:t>
      </w:r>
      <w:r w:rsidRP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предметной и методической</w:t>
      </w:r>
      <w:r w:rsid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задания по функциональной грамотности (финансовой)</w:t>
      </w:r>
      <w:r w:rsidRP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</w:t>
      </w:r>
      <w:r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P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1ПК-10ПК нацелены на проверку уровня </w:t>
      </w:r>
      <w:r w:rsidRP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общепредметных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учителей </w:t>
      </w:r>
      <w:r w:rsidRPr="00F1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и обществознания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4C253D" w14:textId="5C96D15E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1ПК предполагало выявление уровня сформированности предметной компетенции </w:t>
      </w:r>
      <w:r w:rsid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F172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обществоведческими понятиями. Содержание задания: даётся описание ситуации, необходимо из списка выбрать термин, характеризующий ситуацию. Процент выполнения задания – 86%, что является высоким показателем и свидетельствует о том, что предметные компетенции в области работы с обществоведческими </w:t>
      </w:r>
      <w:r w:rsidR="000555EB"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у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испытуемых </w:t>
      </w:r>
      <w:r w:rsidR="000555EB"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на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высоком уровне.</w:t>
      </w:r>
    </w:p>
    <w:p w14:paraId="6F3D7D15" w14:textId="77777777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2ПК было связано с работой с графическими объектами. Содержание задания: предлагается график и сопровождающий текст. Из предложенных вариантов ответов необходимо выбрать ситуацию, которую он отражает. Правильно выполнили задание 78% участников, что позволяет сделать вывод о владении большинством педагогов навыками работы с графическими объектами.</w:t>
      </w:r>
    </w:p>
    <w:p w14:paraId="24F48C5C" w14:textId="716856D3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3ПК было нацелено на определение уровня сформированности компетенций в области знания терминологии. Содержание задания: участнику исследования предлагается понятие и список терминов. Необходимо найти термин, не связанный с данным понятием. Процент верного выполнения </w:t>
      </w:r>
      <w:r w:rsidR="000555EB"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-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86%. Данный высокий показатель позволяет констатировать сформированность у педагогов предметной компетенции в области терминологии.</w:t>
      </w:r>
    </w:p>
    <w:p w14:paraId="54B97778" w14:textId="7CC79061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4ПК направлено на оценивание умения педагога находить обобщающ</w:t>
      </w:r>
      <w:r w:rsidR="000555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поняти</w:t>
      </w:r>
      <w:r w:rsidR="000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представленного ряда. Процент выполнения задания - 68%. Данный результат свидетельствуем о том, </w:t>
      </w:r>
      <w:r w:rsidR="000555EB"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 </w:t>
      </w:r>
      <w:r w:rsidR="000555EB"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данная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сформирована на достаточном уровне. </w:t>
      </w:r>
    </w:p>
    <w:p w14:paraId="6A290C76" w14:textId="40681AE1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5ПК представляет собой задание-задачу с условием, на основе которого требуется выбрать несколько правильных ответов. Задание выполнено верно 72% учителей. </w:t>
      </w:r>
      <w:r w:rsidR="00987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результат позволяет констатировать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большая часть педагогов умеет решать правовые задачи.</w:t>
      </w:r>
    </w:p>
    <w:p w14:paraId="43CFEADA" w14:textId="61EDF80A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6ПК заключалось в реализации умения соотносить термин и его качественные признаки. Сформированность компетенций в области знания терминологии подтверждается высоким показателем верных ответов – 90</w:t>
      </w:r>
      <w:r w:rsidR="0098729F"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A717AD3" w14:textId="2E64C264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5584957"/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7ПК направлено на проверку умения </w:t>
      </w:r>
      <w:r w:rsidR="0098729F"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устанавливать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между различными видами обществоведческих понятий и процессов</w:t>
      </w:r>
      <w:r w:rsidR="0098729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явлений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Верный ответ дали 8</w:t>
      </w:r>
      <w:r w:rsidR="009872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слушателей. </w:t>
      </w:r>
      <w:r w:rsidR="0098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729F"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ысокий </w:t>
      </w:r>
      <w:r w:rsidR="009872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объясняется системным характером работы педагогов по формированию навыков работы с обществоведческими понятиями.</w:t>
      </w:r>
    </w:p>
    <w:bookmarkEnd w:id="2"/>
    <w:p w14:paraId="0E81AB06" w14:textId="1889F063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8ПК нацелено на выявление компетенций в области </w:t>
      </w:r>
      <w:r w:rsidR="00987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верных суждений. Показатель правильных ответов – 6</w:t>
      </w:r>
      <w:r w:rsidR="004D45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% - позволяет судить о достаточной сформированности общепредметных компетенций в данной области.</w:t>
      </w:r>
    </w:p>
    <w:p w14:paraId="1F8ACBC4" w14:textId="57A1688C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9ПК проверяет умение работать с </w:t>
      </w:r>
      <w:r w:rsidR="00564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несплошными текстами</w:t>
      </w:r>
      <w:r w:rsidR="00C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соотносить информацию в сплошных текстах.</w:t>
      </w:r>
      <w:r w:rsidR="0056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выполнения – 70%. </w:t>
      </w:r>
      <w:r w:rsidR="00CD4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в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ысокий показатель говорит о том, что затруднений при работе с гистограммами</w:t>
      </w:r>
      <w:r w:rsidR="00564B5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таблицами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практически не испытывают.</w:t>
      </w:r>
    </w:p>
    <w:p w14:paraId="2AB7D5BA" w14:textId="112FABA5" w:rsidR="003E5029" w:rsidRPr="003E5029" w:rsidRDefault="003E5029" w:rsidP="003E502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10ПК направлено на проверку умения педагогов определять термины в соответствии с их значениями в тексте. Верный ответ дали 8</w:t>
      </w:r>
      <w:r w:rsidR="00CD4C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% слушателей. Показатель высокий – объясняется системным характером работы педагогов по формированию навыков работы с терминами</w:t>
      </w:r>
      <w:r w:rsidR="00CD4C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</w:t>
      </w:r>
      <w:r w:rsidR="00CD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текстов</w:t>
      </w:r>
      <w:r w:rsidRPr="003E5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A6E43" w14:textId="00BE214B" w:rsidR="005A7A93" w:rsidRPr="005A7A93" w:rsidRDefault="005A7A93" w:rsidP="005A7A9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11МК-1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МК проверяют уровень сформированности методических компетенций педагогов.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34C4E6" w14:textId="1EF69D2D" w:rsidR="005A7A93" w:rsidRPr="005A7A93" w:rsidRDefault="005A7A93" w:rsidP="005A7A9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11МК нацелено на реализацию компетентности в области </w:t>
      </w:r>
      <w:r w:rsidR="00FF7CEA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организации процесса изучения учебного материала. С заданием справились 5</w:t>
      </w:r>
      <w:r w:rsidR="00FF7C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CEA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испытуемых. Средний показатель свидетельствует о том, что половина учителей не имеет опыта </w:t>
      </w:r>
      <w:bookmarkStart w:id="3" w:name="_Hlk105601743"/>
      <w:r w:rsidR="00FF7CEA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планирования учебного материал</w:t>
      </w:r>
      <w:bookmarkEnd w:id="3"/>
      <w:r w:rsidR="00FF7CEA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создает риски нарушения принципа системности обучения.</w:t>
      </w:r>
    </w:p>
    <w:p w14:paraId="3B578483" w14:textId="7FC1BB3E" w:rsidR="00F71666" w:rsidRPr="005A7A93" w:rsidRDefault="005A7A93" w:rsidP="00F716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12 МК</w:t>
      </w:r>
      <w:r w:rsidR="00F71666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C2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анализ</w:t>
      </w:r>
      <w:r w:rsid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предложенного текста</w:t>
      </w:r>
      <w:r w:rsid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32099D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 w:rsidR="00320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предложенным критериям.</w:t>
      </w:r>
      <w:r w:rsidR="0032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666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заданием успешно справились </w:t>
      </w:r>
      <w:r w:rsidR="0032099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71666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учителей. Высокий показатель свидетельствует о сформированности компетенций, определяющих </w:t>
      </w:r>
      <w:r w:rsidR="003209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работу учеников.</w:t>
      </w:r>
    </w:p>
    <w:p w14:paraId="3D9C580B" w14:textId="1624A071" w:rsidR="005A7A93" w:rsidRPr="005A7A93" w:rsidRDefault="005A7A93" w:rsidP="005A7A9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13МК направлено на изучение уровня сформированности методической компетентности учителя в плане работы над составлением рабочей программы, умения характеризовать логичность и целесообразность выбора учебных разделов и тем в целях эффективного достижения предметных результатов. 6</w:t>
      </w:r>
      <w:r w:rsidR="00996F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опрошенных верно выполнили данное задание, соответственно </w:t>
      </w:r>
      <w:r w:rsidR="00F7166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% испытывают дефицит данной компетенции.</w:t>
      </w:r>
    </w:p>
    <w:p w14:paraId="6CF6FDDB" w14:textId="4639439E" w:rsidR="007C276A" w:rsidRPr="00E617EF" w:rsidRDefault="005A7A93" w:rsidP="0032099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F716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="00EC4BC2"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ориентировано </w:t>
      </w: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выявление умений учителя при организации учебной деятельности обучающихся выбирать те формы, методы и приемы, которые будут учитывать особенности организации урока. Только </w:t>
      </w:r>
      <w:r w:rsidR="00F7166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5A7A93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учителей смогли верно выполнить задание. Данный результат подтверждает тот факт, что в практике работы больше половины испытуемых не учитывают уровень дифференциации качества знаний учеников. Соответственно данный фактор отрицательно сказывается на эффективности учебного процесса.</w:t>
      </w:r>
    </w:p>
    <w:p w14:paraId="0F07F007" w14:textId="737C1E79" w:rsidR="00E617EF" w:rsidRPr="00E617EF" w:rsidRDefault="00E617EF" w:rsidP="00E617E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F716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 определяет уровень компетенций учителя в области формирования </w:t>
      </w:r>
      <w:r w:rsidR="00F7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грамотности и предполагает </w:t>
      </w:r>
      <w:r w:rsidR="00D775D9"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7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ситуации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заданием справились </w:t>
      </w:r>
      <w:r w:rsidR="00CA3D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испытуемых. Этот результат позволяет сделать вывод о </w:t>
      </w:r>
      <w:r w:rsidR="00CA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незначительных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дефицитах в области работы по формированию </w:t>
      </w:r>
      <w:r w:rsidR="00F7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грамотности обучающихся.</w:t>
      </w:r>
    </w:p>
    <w:p w14:paraId="3E90072C" w14:textId="77777777" w:rsidR="00E617EF" w:rsidRPr="00E617EF" w:rsidRDefault="00E617EF" w:rsidP="00E617E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3765D" w14:textId="49DC331D" w:rsidR="00134203" w:rsidRDefault="00E617EF" w:rsidP="00E6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EF">
        <w:rPr>
          <w:rFonts w:ascii="Times New Roman" w:hAnsi="Times New Roman" w:cs="Times New Roman"/>
          <w:sz w:val="28"/>
          <w:szCs w:val="28"/>
        </w:rPr>
        <w:t xml:space="preserve">В 2021 году оценку профессиональных компетенций прошли </w:t>
      </w:r>
      <w:r w:rsidR="00071CEF">
        <w:rPr>
          <w:rFonts w:ascii="Times New Roman" w:hAnsi="Times New Roman" w:cs="Times New Roman"/>
          <w:sz w:val="28"/>
          <w:szCs w:val="28"/>
        </w:rPr>
        <w:t>49</w:t>
      </w:r>
      <w:r w:rsidRPr="00E617EF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071CEF">
        <w:rPr>
          <w:rFonts w:ascii="Times New Roman" w:hAnsi="Times New Roman" w:cs="Times New Roman"/>
          <w:sz w:val="28"/>
          <w:szCs w:val="28"/>
        </w:rPr>
        <w:t>истории и 80 учителей обществознания</w:t>
      </w:r>
      <w:r w:rsidRPr="00E617EF">
        <w:rPr>
          <w:rFonts w:ascii="Times New Roman" w:hAnsi="Times New Roman" w:cs="Times New Roman"/>
          <w:sz w:val="28"/>
          <w:szCs w:val="28"/>
        </w:rPr>
        <w:t xml:space="preserve">. Из них показали </w:t>
      </w:r>
      <w:r w:rsidR="00134203" w:rsidRPr="00134203">
        <w:rPr>
          <w:rFonts w:ascii="Times New Roman" w:hAnsi="Times New Roman" w:cs="Times New Roman"/>
          <w:b/>
          <w:bCs/>
          <w:sz w:val="28"/>
          <w:szCs w:val="28"/>
        </w:rPr>
        <w:t>по истории</w:t>
      </w:r>
      <w:r w:rsidR="00134203">
        <w:rPr>
          <w:rFonts w:ascii="Times New Roman" w:hAnsi="Times New Roman" w:cs="Times New Roman"/>
          <w:sz w:val="28"/>
          <w:szCs w:val="28"/>
        </w:rPr>
        <w:t xml:space="preserve"> </w:t>
      </w:r>
      <w:r w:rsidRPr="00E617EF">
        <w:rPr>
          <w:rFonts w:ascii="Times New Roman" w:hAnsi="Times New Roman" w:cs="Times New Roman"/>
          <w:sz w:val="28"/>
          <w:szCs w:val="28"/>
        </w:rPr>
        <w:t xml:space="preserve">высокий уровень сформированности компетенций (выше 80% верных ответов) 10%, уровень выше среднего (60-80% верных ответов) - </w:t>
      </w:r>
      <w:r w:rsidR="002A2798">
        <w:rPr>
          <w:rFonts w:ascii="Times New Roman" w:hAnsi="Times New Roman" w:cs="Times New Roman"/>
          <w:sz w:val="28"/>
          <w:szCs w:val="28"/>
        </w:rPr>
        <w:t>61</w:t>
      </w:r>
      <w:r w:rsidRPr="00E617EF">
        <w:rPr>
          <w:rFonts w:ascii="Times New Roman" w:hAnsi="Times New Roman" w:cs="Times New Roman"/>
          <w:sz w:val="28"/>
          <w:szCs w:val="28"/>
        </w:rPr>
        <w:t xml:space="preserve">%. Средний уровень (30-59% верных ответов) выявлен у </w:t>
      </w:r>
      <w:r w:rsidR="002A2798">
        <w:rPr>
          <w:rFonts w:ascii="Times New Roman" w:hAnsi="Times New Roman" w:cs="Times New Roman"/>
          <w:sz w:val="28"/>
          <w:szCs w:val="28"/>
        </w:rPr>
        <w:t>2</w:t>
      </w:r>
      <w:r w:rsidRPr="00E617EF">
        <w:rPr>
          <w:rFonts w:ascii="Times New Roman" w:hAnsi="Times New Roman" w:cs="Times New Roman"/>
          <w:sz w:val="28"/>
          <w:szCs w:val="28"/>
        </w:rPr>
        <w:t xml:space="preserve">5% испытуемых, низкий (0-29%) – у </w:t>
      </w:r>
      <w:r w:rsidR="002A2798">
        <w:rPr>
          <w:rFonts w:ascii="Times New Roman" w:hAnsi="Times New Roman" w:cs="Times New Roman"/>
          <w:sz w:val="28"/>
          <w:szCs w:val="28"/>
        </w:rPr>
        <w:t>4</w:t>
      </w:r>
      <w:r w:rsidRPr="00E617EF">
        <w:rPr>
          <w:rFonts w:ascii="Times New Roman" w:hAnsi="Times New Roman" w:cs="Times New Roman"/>
          <w:sz w:val="28"/>
          <w:szCs w:val="28"/>
        </w:rPr>
        <w:t>%.</w:t>
      </w:r>
    </w:p>
    <w:p w14:paraId="1FA1BD93" w14:textId="77777777" w:rsidR="009F2CFC" w:rsidRDefault="009F2CFC" w:rsidP="00E6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C4C75" w14:textId="6C3E87FE" w:rsidR="004A06EE" w:rsidRDefault="004A06EE" w:rsidP="00E6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6B8A7F" wp14:editId="0C06EEAC">
            <wp:extent cx="4857750" cy="2486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7342578" w14:textId="77777777" w:rsidR="009F2CFC" w:rsidRDefault="009F2CFC" w:rsidP="009F2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A5DAA" w14:textId="1D29EB8F" w:rsidR="00134203" w:rsidRDefault="00134203" w:rsidP="0013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3420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7EF">
        <w:rPr>
          <w:rFonts w:ascii="Times New Roman" w:hAnsi="Times New Roman" w:cs="Times New Roman"/>
          <w:sz w:val="28"/>
          <w:szCs w:val="28"/>
        </w:rPr>
        <w:t xml:space="preserve">высокий уровень сформированности компетенций (выше 80% верных ответов) </w:t>
      </w:r>
      <w:r w:rsidR="00D2746C">
        <w:rPr>
          <w:rFonts w:ascii="Times New Roman" w:hAnsi="Times New Roman" w:cs="Times New Roman"/>
          <w:sz w:val="28"/>
          <w:szCs w:val="28"/>
        </w:rPr>
        <w:t>2</w:t>
      </w:r>
      <w:r w:rsidRPr="00E617EF">
        <w:rPr>
          <w:rFonts w:ascii="Times New Roman" w:hAnsi="Times New Roman" w:cs="Times New Roman"/>
          <w:sz w:val="28"/>
          <w:szCs w:val="28"/>
        </w:rPr>
        <w:t xml:space="preserve">1%, уровень выше среднего (60-80% верных ответов) - </w:t>
      </w:r>
      <w:r w:rsidR="00D2746C">
        <w:rPr>
          <w:rFonts w:ascii="Times New Roman" w:hAnsi="Times New Roman" w:cs="Times New Roman"/>
          <w:sz w:val="28"/>
          <w:szCs w:val="28"/>
        </w:rPr>
        <w:t>38</w:t>
      </w:r>
      <w:r w:rsidRPr="00E617EF">
        <w:rPr>
          <w:rFonts w:ascii="Times New Roman" w:hAnsi="Times New Roman" w:cs="Times New Roman"/>
          <w:sz w:val="28"/>
          <w:szCs w:val="28"/>
        </w:rPr>
        <w:t xml:space="preserve">%. Средний уровень (30-59% верных ответов) выявлен у </w:t>
      </w:r>
      <w:r w:rsidR="007671ED">
        <w:rPr>
          <w:rFonts w:ascii="Times New Roman" w:hAnsi="Times New Roman" w:cs="Times New Roman"/>
          <w:sz w:val="28"/>
          <w:szCs w:val="28"/>
        </w:rPr>
        <w:t>3</w:t>
      </w:r>
      <w:r w:rsidR="009D2287">
        <w:rPr>
          <w:rFonts w:ascii="Times New Roman" w:hAnsi="Times New Roman" w:cs="Times New Roman"/>
          <w:sz w:val="28"/>
          <w:szCs w:val="28"/>
        </w:rPr>
        <w:t>2</w:t>
      </w:r>
      <w:r w:rsidRPr="00E617EF">
        <w:rPr>
          <w:rFonts w:ascii="Times New Roman" w:hAnsi="Times New Roman" w:cs="Times New Roman"/>
          <w:sz w:val="28"/>
          <w:szCs w:val="28"/>
        </w:rPr>
        <w:t xml:space="preserve">% испытуемых, низкий (0-29%) – у </w:t>
      </w:r>
      <w:r w:rsidR="009D2287">
        <w:rPr>
          <w:rFonts w:ascii="Times New Roman" w:hAnsi="Times New Roman" w:cs="Times New Roman"/>
          <w:sz w:val="28"/>
          <w:szCs w:val="28"/>
        </w:rPr>
        <w:t>9</w:t>
      </w:r>
      <w:r w:rsidRPr="00E617EF">
        <w:rPr>
          <w:rFonts w:ascii="Times New Roman" w:hAnsi="Times New Roman" w:cs="Times New Roman"/>
          <w:sz w:val="28"/>
          <w:szCs w:val="28"/>
        </w:rPr>
        <w:t>%.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F15FD3" w14:textId="77777777" w:rsidR="00DC336D" w:rsidRPr="00E617EF" w:rsidRDefault="00DC336D" w:rsidP="00E6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48205" w14:textId="46DE9D7B" w:rsidR="00E617EF" w:rsidRDefault="009F2CFC" w:rsidP="00E6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7D7B2" wp14:editId="6E60CEE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613D15C" w14:textId="77777777" w:rsidR="00DC336D" w:rsidRDefault="00DC336D" w:rsidP="00E6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B5203" w14:textId="65AA9EFB" w:rsidR="00DC336D" w:rsidRDefault="00DC336D" w:rsidP="00DC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E617EF">
        <w:rPr>
          <w:rFonts w:ascii="Times New Roman" w:hAnsi="Times New Roman" w:cs="Times New Roman"/>
          <w:sz w:val="28"/>
          <w:szCs w:val="28"/>
        </w:rPr>
        <w:t xml:space="preserve">оценку профессиональных компетенций прошли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17EF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>истории.</w:t>
      </w:r>
      <w:r w:rsidRPr="00E617EF">
        <w:rPr>
          <w:rFonts w:ascii="Times New Roman" w:hAnsi="Times New Roman" w:cs="Times New Roman"/>
          <w:sz w:val="28"/>
          <w:szCs w:val="28"/>
        </w:rPr>
        <w:t xml:space="preserve"> Из них показали уровень выше среднего (60-80% верных ответов) -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617EF">
        <w:rPr>
          <w:rFonts w:ascii="Times New Roman" w:hAnsi="Times New Roman" w:cs="Times New Roman"/>
          <w:sz w:val="28"/>
          <w:szCs w:val="28"/>
        </w:rPr>
        <w:t xml:space="preserve">%. Средний уровень (30-59% верных ответов) выявлен у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617EF">
        <w:rPr>
          <w:rFonts w:ascii="Times New Roman" w:hAnsi="Times New Roman" w:cs="Times New Roman"/>
          <w:sz w:val="28"/>
          <w:szCs w:val="28"/>
        </w:rPr>
        <w:t>% испытуемых%.</w:t>
      </w:r>
    </w:p>
    <w:p w14:paraId="5DA1DD2C" w14:textId="62DC698E" w:rsidR="00631CDC" w:rsidRPr="009D2287" w:rsidRDefault="00631CDC" w:rsidP="00DC3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CA564F" wp14:editId="77E5EE68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1BBEF3" w14:textId="115386E6" w:rsidR="009F2CFC" w:rsidRPr="00E617EF" w:rsidRDefault="00DC336D" w:rsidP="00DC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Объективность результатов обеспечивалась </w:t>
      </w:r>
      <w:r w:rsidRPr="00E617EF">
        <w:rPr>
          <w:rFonts w:ascii="Times New Roman" w:hAnsi="Times New Roman" w:cs="Times New Roman"/>
          <w:sz w:val="28"/>
          <w:szCs w:val="28"/>
        </w:rPr>
        <w:t>системой автоматизированного оценивания, разработанной специалистами ЦНППМ.</w:t>
      </w:r>
    </w:p>
    <w:p w14:paraId="7B43B49B" w14:textId="4763948B" w:rsidR="00E617EF" w:rsidRPr="00E617EF" w:rsidRDefault="00E617EF" w:rsidP="00E617E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полученных результатов исследования </w:t>
      </w:r>
      <w:r w:rsidR="00B2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</w:t>
      </w:r>
      <w:r w:rsidR="00B25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B2540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сделаны следующие выводы:</w:t>
      </w:r>
    </w:p>
    <w:p w14:paraId="6F74A03B" w14:textId="769A9B15" w:rsidR="00E617EF" w:rsidRPr="00E617EF" w:rsidRDefault="00E617EF" w:rsidP="00045BF5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217B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высокий уровень сформированности предметных компетенций.</w:t>
      </w:r>
    </w:p>
    <w:p w14:paraId="11AE947A" w14:textId="712829F7" w:rsidR="00E617EF" w:rsidRPr="00713149" w:rsidRDefault="00E617EF" w:rsidP="00045BF5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сформированности методических компетенций имеются дефициты </w:t>
      </w:r>
      <w:r w:rsidRPr="00E617EF">
        <w:rPr>
          <w:rFonts w:ascii="Times New Roman" w:hAnsi="Times New Roman" w:cs="Times New Roman"/>
          <w:sz w:val="28"/>
        </w:rPr>
        <w:t>при работе с несплошными текстами</w:t>
      </w:r>
      <w:r w:rsidR="00451A41">
        <w:rPr>
          <w:rFonts w:ascii="Times New Roman" w:hAnsi="Times New Roman" w:cs="Times New Roman"/>
          <w:sz w:val="28"/>
        </w:rPr>
        <w:t>, особенно в части соотношения нескольких объектов</w:t>
      </w:r>
      <w:r w:rsidR="009F5687">
        <w:rPr>
          <w:rFonts w:ascii="Times New Roman" w:hAnsi="Times New Roman" w:cs="Times New Roman"/>
          <w:sz w:val="28"/>
        </w:rPr>
        <w:t>.</w:t>
      </w:r>
      <w:r w:rsidRPr="00E617EF">
        <w:rPr>
          <w:rFonts w:ascii="Times New Roman" w:hAnsi="Times New Roman" w:cs="Times New Roman"/>
          <w:sz w:val="28"/>
        </w:rPr>
        <w:t xml:space="preserve"> Часть </w:t>
      </w:r>
      <w:r w:rsidR="00944B16">
        <w:rPr>
          <w:rFonts w:ascii="Times New Roman" w:hAnsi="Times New Roman" w:cs="Times New Roman"/>
          <w:sz w:val="28"/>
        </w:rPr>
        <w:t>опрошенных</w:t>
      </w:r>
      <w:r w:rsidRPr="00E617EF">
        <w:rPr>
          <w:rFonts w:ascii="Times New Roman" w:hAnsi="Times New Roman" w:cs="Times New Roman"/>
          <w:sz w:val="28"/>
        </w:rPr>
        <w:t xml:space="preserve"> </w:t>
      </w:r>
      <w:r w:rsidR="00451A41">
        <w:rPr>
          <w:rFonts w:ascii="Times New Roman" w:hAnsi="Times New Roman" w:cs="Times New Roman"/>
          <w:sz w:val="28"/>
        </w:rPr>
        <w:t xml:space="preserve">педагогов </w:t>
      </w:r>
      <w:r w:rsidRPr="00E617EF">
        <w:rPr>
          <w:rFonts w:ascii="Times New Roman" w:hAnsi="Times New Roman" w:cs="Times New Roman"/>
          <w:sz w:val="28"/>
        </w:rPr>
        <w:t>испытывает затруднения при дифференцировании методов, форм и приемов обучения в классах с сильным и слабым уровнем развития предметных компетенций.</w:t>
      </w:r>
      <w:r w:rsidR="00451A41">
        <w:rPr>
          <w:rFonts w:ascii="Times New Roman" w:hAnsi="Times New Roman" w:cs="Times New Roman"/>
          <w:sz w:val="28"/>
        </w:rPr>
        <w:t xml:space="preserve"> Некоторые педагоги затрудняются при </w:t>
      </w:r>
      <w:r w:rsidR="00451A41" w:rsidRPr="005A7A93">
        <w:rPr>
          <w:rFonts w:ascii="Times New Roman" w:hAnsi="Times New Roman" w:cs="Times New Roman"/>
          <w:sz w:val="28"/>
        </w:rPr>
        <w:t>самостоятельно</w:t>
      </w:r>
      <w:r w:rsidR="00451A41">
        <w:rPr>
          <w:rFonts w:ascii="Times New Roman" w:hAnsi="Times New Roman" w:cs="Times New Roman"/>
          <w:sz w:val="28"/>
        </w:rPr>
        <w:t>м</w:t>
      </w:r>
      <w:r w:rsidR="00451A41" w:rsidRPr="005A7A93">
        <w:rPr>
          <w:rFonts w:ascii="Times New Roman" w:hAnsi="Times New Roman" w:cs="Times New Roman"/>
          <w:sz w:val="28"/>
        </w:rPr>
        <w:t xml:space="preserve"> планировани</w:t>
      </w:r>
      <w:r w:rsidR="00451A41">
        <w:rPr>
          <w:rFonts w:ascii="Times New Roman" w:hAnsi="Times New Roman" w:cs="Times New Roman"/>
          <w:sz w:val="28"/>
        </w:rPr>
        <w:t>и</w:t>
      </w:r>
      <w:r w:rsidR="00451A41" w:rsidRPr="005A7A93">
        <w:rPr>
          <w:rFonts w:ascii="Times New Roman" w:hAnsi="Times New Roman" w:cs="Times New Roman"/>
          <w:sz w:val="28"/>
        </w:rPr>
        <w:t xml:space="preserve"> учебного материал</w:t>
      </w:r>
      <w:r w:rsidR="00451A41">
        <w:rPr>
          <w:rFonts w:ascii="Times New Roman" w:hAnsi="Times New Roman" w:cs="Times New Roman"/>
          <w:sz w:val="28"/>
        </w:rPr>
        <w:t>а.</w:t>
      </w:r>
    </w:p>
    <w:p w14:paraId="2CDEEA5C" w14:textId="76F82A85" w:rsidR="00713149" w:rsidRPr="00E617EF" w:rsidRDefault="00713149" w:rsidP="00045BF5">
      <w:pPr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сформированности 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формирования </w:t>
      </w:r>
      <w:r w:rsidRPr="007131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грамотности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достаточно высоком уровне.</w:t>
      </w:r>
    </w:p>
    <w:p w14:paraId="7182D06D" w14:textId="7DF5E0D4" w:rsidR="00E617EF" w:rsidRPr="00E617EF" w:rsidRDefault="00E617EF" w:rsidP="00E617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результатов оценки </w:t>
      </w:r>
      <w:r w:rsidRPr="00E617EF">
        <w:rPr>
          <w:rFonts w:ascii="Times New Roman" w:eastAsia="Calibri" w:hAnsi="Times New Roman" w:cs="Times New Roman"/>
          <w:bCs/>
          <w:sz w:val="28"/>
          <w:szCs w:val="28"/>
        </w:rPr>
        <w:t xml:space="preserve">уровня сформированности общепредметных, методических компетенций и компетенций в области формирования </w:t>
      </w:r>
      <w:r w:rsidR="009F5687">
        <w:rPr>
          <w:rFonts w:ascii="Times New Roman" w:eastAsia="Calibri" w:hAnsi="Times New Roman" w:cs="Times New Roman"/>
          <w:bCs/>
          <w:sz w:val="28"/>
          <w:szCs w:val="28"/>
        </w:rPr>
        <w:t>финансов</w:t>
      </w:r>
      <w:r w:rsidRPr="00E617EF">
        <w:rPr>
          <w:rFonts w:ascii="Times New Roman" w:eastAsia="Calibri" w:hAnsi="Times New Roman" w:cs="Times New Roman"/>
          <w:bCs/>
          <w:sz w:val="28"/>
          <w:szCs w:val="28"/>
        </w:rPr>
        <w:t xml:space="preserve">ой грамотности учителей </w:t>
      </w:r>
      <w:r w:rsidR="009F5687">
        <w:rPr>
          <w:rFonts w:ascii="Times New Roman" w:eastAsia="Calibri" w:hAnsi="Times New Roman" w:cs="Times New Roman"/>
          <w:bCs/>
          <w:sz w:val="28"/>
          <w:szCs w:val="28"/>
        </w:rPr>
        <w:t>истории и обществознания</w:t>
      </w:r>
      <w:r w:rsidRPr="00E617EF">
        <w:rPr>
          <w:rFonts w:ascii="Times New Roman" w:eastAsia="Calibri" w:hAnsi="Times New Roman" w:cs="Times New Roman"/>
          <w:bCs/>
          <w:sz w:val="28"/>
          <w:szCs w:val="28"/>
        </w:rPr>
        <w:t xml:space="preserve"> общеобразовательных организаций Ставропольского края были запланированы и реализованы следующие мероприятия:</w:t>
      </w:r>
    </w:p>
    <w:p w14:paraId="4282EA12" w14:textId="16DC310F" w:rsidR="00E617EF" w:rsidRPr="00E617EF" w:rsidRDefault="00E617EF" w:rsidP="00E617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7EF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Составлены индивидуальные образовательные маршруты для педагогов, показавших низкий и недостаточный уровень сформированности предметных </w:t>
      </w:r>
      <w:r w:rsidR="003C63BF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3C63BF" w:rsidRPr="00E617EF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методических </w:t>
      </w:r>
      <w:r w:rsidRPr="00E617EF">
        <w:rPr>
          <w:rFonts w:ascii="Times New Roman" w:eastAsia="Calibri" w:hAnsi="Times New Roman" w:cs="Times New Roman"/>
          <w:bCs/>
          <w:sz w:val="28"/>
          <w:szCs w:val="28"/>
        </w:rPr>
        <w:t>компетенций</w:t>
      </w:r>
      <w:r w:rsidR="00DC336D"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</w:t>
      </w:r>
      <w:r w:rsidR="00045BF5" w:rsidRPr="00E617EF">
        <w:rPr>
          <w:rFonts w:ascii="Times New Roman" w:eastAsia="Calibri" w:hAnsi="Times New Roman" w:cs="Times New Roman"/>
          <w:bCs/>
          <w:sz w:val="28"/>
          <w:szCs w:val="28"/>
        </w:rPr>
        <w:t xml:space="preserve">в области формирования </w:t>
      </w:r>
      <w:r w:rsidR="00045BF5">
        <w:rPr>
          <w:rFonts w:ascii="Times New Roman" w:eastAsia="Calibri" w:hAnsi="Times New Roman" w:cs="Times New Roman"/>
          <w:bCs/>
          <w:sz w:val="28"/>
          <w:szCs w:val="28"/>
        </w:rPr>
        <w:t>финансовой</w:t>
      </w:r>
      <w:r w:rsidR="00045BF5" w:rsidRPr="00E617EF">
        <w:rPr>
          <w:rFonts w:ascii="Times New Roman" w:eastAsia="Calibri" w:hAnsi="Times New Roman" w:cs="Times New Roman"/>
          <w:bCs/>
          <w:sz w:val="28"/>
          <w:szCs w:val="28"/>
        </w:rPr>
        <w:t xml:space="preserve"> грамотности</w:t>
      </w:r>
      <w:r w:rsidR="00045BF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9975A17" w14:textId="3A69C048" w:rsidR="00E617EF" w:rsidRPr="00E617EF" w:rsidRDefault="00E617EF" w:rsidP="00E617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7EF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выявленных дефицитов в области предметных компетенций педагогам рекомендовано пройти обучение по программам </w:t>
      </w:r>
      <w:bookmarkStart w:id="4" w:name="_Hlk105597560"/>
      <w:r w:rsidRPr="00E617EF">
        <w:rPr>
          <w:rFonts w:ascii="Times New Roman" w:hAnsi="Times New Roman" w:cs="Times New Roman"/>
          <w:sz w:val="28"/>
          <w:szCs w:val="28"/>
        </w:rPr>
        <w:t xml:space="preserve">«Применение оборудования в центрах образования естественно-научной и технологической направленности «Точка роста»»: </w:t>
      </w:r>
      <w:r w:rsidR="009F5687">
        <w:rPr>
          <w:rFonts w:ascii="Times New Roman" w:hAnsi="Times New Roman" w:cs="Times New Roman"/>
          <w:sz w:val="28"/>
          <w:szCs w:val="28"/>
        </w:rPr>
        <w:t>история</w:t>
      </w:r>
      <w:r w:rsidRPr="00E617EF">
        <w:rPr>
          <w:rFonts w:ascii="Times New Roman" w:hAnsi="Times New Roman" w:cs="Times New Roman"/>
          <w:sz w:val="28"/>
          <w:szCs w:val="28"/>
        </w:rPr>
        <w:t xml:space="preserve">», </w:t>
      </w:r>
      <w:bookmarkEnd w:id="4"/>
      <w:r w:rsidR="009F5687" w:rsidRPr="009F5687">
        <w:rPr>
          <w:rFonts w:ascii="Times New Roman" w:hAnsi="Times New Roman" w:cs="Times New Roman"/>
          <w:sz w:val="28"/>
          <w:szCs w:val="28"/>
        </w:rPr>
        <w:lastRenderedPageBreak/>
        <w:t xml:space="preserve">«Применение оборудования в центрах образования естественно-научной и технологической направленности «Точка роста»»: </w:t>
      </w:r>
      <w:r w:rsidR="003C63BF">
        <w:rPr>
          <w:rFonts w:ascii="Times New Roman" w:hAnsi="Times New Roman" w:cs="Times New Roman"/>
          <w:sz w:val="28"/>
          <w:szCs w:val="28"/>
        </w:rPr>
        <w:t>обществознание</w:t>
      </w:r>
      <w:r w:rsidR="009F5687" w:rsidRPr="009F5687">
        <w:rPr>
          <w:rFonts w:ascii="Times New Roman" w:hAnsi="Times New Roman" w:cs="Times New Roman"/>
          <w:sz w:val="28"/>
          <w:szCs w:val="28"/>
        </w:rPr>
        <w:t>»</w:t>
      </w:r>
      <w:r w:rsidR="00B2540A">
        <w:rPr>
          <w:rFonts w:ascii="Times New Roman" w:hAnsi="Times New Roman" w:cs="Times New Roman"/>
          <w:sz w:val="28"/>
          <w:szCs w:val="28"/>
        </w:rPr>
        <w:t xml:space="preserve"> (24 ч)</w:t>
      </w:r>
      <w:r w:rsidR="009F5687" w:rsidRPr="009F5687">
        <w:rPr>
          <w:rFonts w:ascii="Times New Roman" w:hAnsi="Times New Roman" w:cs="Times New Roman"/>
          <w:sz w:val="28"/>
          <w:szCs w:val="28"/>
        </w:rPr>
        <w:t xml:space="preserve">, </w:t>
      </w:r>
      <w:r w:rsidRPr="00E617EF">
        <w:rPr>
          <w:rFonts w:ascii="Times New Roman" w:hAnsi="Times New Roman" w:cs="Times New Roman"/>
          <w:sz w:val="28"/>
          <w:szCs w:val="28"/>
        </w:rPr>
        <w:t xml:space="preserve">«Новые векторы образования в школе: </w:t>
      </w:r>
      <w:r w:rsidR="003C63BF">
        <w:rPr>
          <w:rFonts w:ascii="Times New Roman" w:hAnsi="Times New Roman" w:cs="Times New Roman"/>
          <w:sz w:val="28"/>
          <w:szCs w:val="28"/>
        </w:rPr>
        <w:t>история</w:t>
      </w:r>
      <w:r w:rsidRPr="00E617EF">
        <w:rPr>
          <w:rFonts w:ascii="Times New Roman" w:hAnsi="Times New Roman" w:cs="Times New Roman"/>
          <w:sz w:val="28"/>
          <w:szCs w:val="28"/>
        </w:rPr>
        <w:t xml:space="preserve"> и </w:t>
      </w:r>
      <w:r w:rsidR="003C63BF">
        <w:rPr>
          <w:rFonts w:ascii="Times New Roman" w:hAnsi="Times New Roman" w:cs="Times New Roman"/>
          <w:sz w:val="28"/>
          <w:szCs w:val="28"/>
        </w:rPr>
        <w:t>обществознание</w:t>
      </w:r>
      <w:r w:rsidRPr="00E617EF">
        <w:rPr>
          <w:rFonts w:ascii="Times New Roman" w:hAnsi="Times New Roman" w:cs="Times New Roman"/>
          <w:sz w:val="28"/>
          <w:szCs w:val="28"/>
        </w:rPr>
        <w:t>»</w:t>
      </w:r>
      <w:r w:rsidR="00B2540A">
        <w:rPr>
          <w:rFonts w:ascii="Times New Roman" w:hAnsi="Times New Roman" w:cs="Times New Roman"/>
          <w:sz w:val="28"/>
          <w:szCs w:val="28"/>
        </w:rPr>
        <w:t xml:space="preserve"> (36 ч)</w:t>
      </w:r>
      <w:r w:rsidR="003C63BF">
        <w:rPr>
          <w:rFonts w:ascii="Times New Roman" w:hAnsi="Times New Roman" w:cs="Times New Roman"/>
          <w:sz w:val="28"/>
          <w:szCs w:val="28"/>
        </w:rPr>
        <w:t>.</w:t>
      </w:r>
    </w:p>
    <w:p w14:paraId="44D5D249" w14:textId="21CBF5FC" w:rsidR="00E617EF" w:rsidRPr="00864D01" w:rsidRDefault="00E617EF" w:rsidP="00864D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7EF">
        <w:rPr>
          <w:rFonts w:ascii="Times New Roman" w:hAnsi="Times New Roman" w:cs="Times New Roman"/>
          <w:sz w:val="28"/>
          <w:szCs w:val="28"/>
        </w:rPr>
        <w:t xml:space="preserve"> Организована стажировка для работников педагогических организаций, включенных в реализацию программы «Модернизация школьных систем образования».</w:t>
      </w:r>
    </w:p>
    <w:p w14:paraId="3B5367D3" w14:textId="77777777" w:rsidR="00E617EF" w:rsidRDefault="00E617EF" w:rsidP="008E528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617EF" w:rsidSect="001E73A5">
      <w:pgSz w:w="11906" w:h="16838"/>
      <w:pgMar w:top="1134" w:right="566" w:bottom="1134" w:left="1701" w:header="709" w:footer="709" w:gutter="0"/>
      <w:cols w:space="708"/>
      <w:titlePg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B9"/>
    <w:rsid w:val="00045BF5"/>
    <w:rsid w:val="000501B7"/>
    <w:rsid w:val="000555EB"/>
    <w:rsid w:val="00055662"/>
    <w:rsid w:val="00057D97"/>
    <w:rsid w:val="000650B0"/>
    <w:rsid w:val="00071CEF"/>
    <w:rsid w:val="00082E44"/>
    <w:rsid w:val="00096424"/>
    <w:rsid w:val="000A7AA8"/>
    <w:rsid w:val="000B2998"/>
    <w:rsid w:val="000E4019"/>
    <w:rsid w:val="00134203"/>
    <w:rsid w:val="00194334"/>
    <w:rsid w:val="001A3FFC"/>
    <w:rsid w:val="001A438C"/>
    <w:rsid w:val="001C1474"/>
    <w:rsid w:val="001D26F6"/>
    <w:rsid w:val="001D7AB1"/>
    <w:rsid w:val="001E12E4"/>
    <w:rsid w:val="001E2B41"/>
    <w:rsid w:val="001E73A5"/>
    <w:rsid w:val="001F65B9"/>
    <w:rsid w:val="00217B2E"/>
    <w:rsid w:val="00252E05"/>
    <w:rsid w:val="002533DD"/>
    <w:rsid w:val="00261022"/>
    <w:rsid w:val="002A2798"/>
    <w:rsid w:val="002C3913"/>
    <w:rsid w:val="002C44BC"/>
    <w:rsid w:val="0032099D"/>
    <w:rsid w:val="00331071"/>
    <w:rsid w:val="0034489A"/>
    <w:rsid w:val="00344C5C"/>
    <w:rsid w:val="003519D5"/>
    <w:rsid w:val="003557C4"/>
    <w:rsid w:val="00363F29"/>
    <w:rsid w:val="00366DCF"/>
    <w:rsid w:val="00370401"/>
    <w:rsid w:val="003C63BF"/>
    <w:rsid w:val="003D5D67"/>
    <w:rsid w:val="003E5029"/>
    <w:rsid w:val="00451A41"/>
    <w:rsid w:val="00482A14"/>
    <w:rsid w:val="004948A4"/>
    <w:rsid w:val="00497D01"/>
    <w:rsid w:val="004A06EE"/>
    <w:rsid w:val="004B11C8"/>
    <w:rsid w:val="004D45AA"/>
    <w:rsid w:val="004F34DF"/>
    <w:rsid w:val="0054282A"/>
    <w:rsid w:val="00553F0B"/>
    <w:rsid w:val="00564B52"/>
    <w:rsid w:val="00574D5C"/>
    <w:rsid w:val="00587CB3"/>
    <w:rsid w:val="00594901"/>
    <w:rsid w:val="005A7A93"/>
    <w:rsid w:val="005C63FE"/>
    <w:rsid w:val="005C7A5F"/>
    <w:rsid w:val="005F0162"/>
    <w:rsid w:val="005F5D29"/>
    <w:rsid w:val="006062F4"/>
    <w:rsid w:val="00606E1D"/>
    <w:rsid w:val="0061281A"/>
    <w:rsid w:val="00631CDC"/>
    <w:rsid w:val="00641DD4"/>
    <w:rsid w:val="0064761E"/>
    <w:rsid w:val="00662C4C"/>
    <w:rsid w:val="00693C15"/>
    <w:rsid w:val="00696023"/>
    <w:rsid w:val="006A29F1"/>
    <w:rsid w:val="006A3291"/>
    <w:rsid w:val="006C02B3"/>
    <w:rsid w:val="00713149"/>
    <w:rsid w:val="00730D1B"/>
    <w:rsid w:val="007671ED"/>
    <w:rsid w:val="0078393D"/>
    <w:rsid w:val="007C276A"/>
    <w:rsid w:val="007C5DE8"/>
    <w:rsid w:val="007E362D"/>
    <w:rsid w:val="00806C01"/>
    <w:rsid w:val="00822718"/>
    <w:rsid w:val="00850AB2"/>
    <w:rsid w:val="00853F35"/>
    <w:rsid w:val="00864D01"/>
    <w:rsid w:val="00867C8B"/>
    <w:rsid w:val="008842B0"/>
    <w:rsid w:val="008D3C4F"/>
    <w:rsid w:val="008E0251"/>
    <w:rsid w:val="008E0B30"/>
    <w:rsid w:val="008E5283"/>
    <w:rsid w:val="00920588"/>
    <w:rsid w:val="00944B16"/>
    <w:rsid w:val="0095519B"/>
    <w:rsid w:val="00955349"/>
    <w:rsid w:val="009578ED"/>
    <w:rsid w:val="00961E3B"/>
    <w:rsid w:val="0098729F"/>
    <w:rsid w:val="00992ABF"/>
    <w:rsid w:val="009969DF"/>
    <w:rsid w:val="00996FD8"/>
    <w:rsid w:val="009D2287"/>
    <w:rsid w:val="009E5635"/>
    <w:rsid w:val="009F2CFC"/>
    <w:rsid w:val="009F5687"/>
    <w:rsid w:val="00A80C07"/>
    <w:rsid w:val="00AF5B33"/>
    <w:rsid w:val="00B00E01"/>
    <w:rsid w:val="00B179F6"/>
    <w:rsid w:val="00B2540A"/>
    <w:rsid w:val="00B567C4"/>
    <w:rsid w:val="00BA65FA"/>
    <w:rsid w:val="00BB512E"/>
    <w:rsid w:val="00BF6F94"/>
    <w:rsid w:val="00C12CAC"/>
    <w:rsid w:val="00C23050"/>
    <w:rsid w:val="00C802DD"/>
    <w:rsid w:val="00CA3D0F"/>
    <w:rsid w:val="00CC4420"/>
    <w:rsid w:val="00CD4CE7"/>
    <w:rsid w:val="00CE7A40"/>
    <w:rsid w:val="00D0745E"/>
    <w:rsid w:val="00D12C29"/>
    <w:rsid w:val="00D2746C"/>
    <w:rsid w:val="00D56DC5"/>
    <w:rsid w:val="00D775D9"/>
    <w:rsid w:val="00D82470"/>
    <w:rsid w:val="00D82FBD"/>
    <w:rsid w:val="00D96983"/>
    <w:rsid w:val="00DC336D"/>
    <w:rsid w:val="00DD4296"/>
    <w:rsid w:val="00DD79A4"/>
    <w:rsid w:val="00DE0805"/>
    <w:rsid w:val="00DF1545"/>
    <w:rsid w:val="00E60482"/>
    <w:rsid w:val="00E617EF"/>
    <w:rsid w:val="00E71E2D"/>
    <w:rsid w:val="00E86F48"/>
    <w:rsid w:val="00EB3957"/>
    <w:rsid w:val="00EB7EB2"/>
    <w:rsid w:val="00EC4BC2"/>
    <w:rsid w:val="00EE59DF"/>
    <w:rsid w:val="00F060E6"/>
    <w:rsid w:val="00F172D5"/>
    <w:rsid w:val="00F31D22"/>
    <w:rsid w:val="00F34A1B"/>
    <w:rsid w:val="00F455FC"/>
    <w:rsid w:val="00F619AA"/>
    <w:rsid w:val="00F71666"/>
    <w:rsid w:val="00FC1269"/>
    <w:rsid w:val="00FC5F11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9B53"/>
  <w15:chartTrackingRefBased/>
  <w15:docId w15:val="{7965FAC8-D22F-4EE1-ADA3-6F172EC1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педагогами выполнения</a:t>
            </a:r>
            <a:r>
              <a:rPr lang="ru-RU" baseline="0"/>
              <a:t> заданий по уровням в 2021 году в процентах (история)</a:t>
            </a:r>
            <a:endParaRPr lang="ru-RU"/>
          </a:p>
        </c:rich>
      </c:tx>
      <c:layout>
        <c:manualLayout>
          <c:xMode val="edge"/>
          <c:yMode val="edge"/>
          <c:x val="0.13497133446554474"/>
          <c:y val="2.38094950774831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DC11-42B4-961A-5E650BBDC381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C11-42B4-961A-5E650BBDC381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C11-42B4-961A-5E650BBDC381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DC11-42B4-961A-5E650BBDC381}"/>
              </c:ext>
            </c:extLst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61</c:v>
                </c:pt>
                <c:pt idx="2">
                  <c:v>25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11-42B4-961A-5E650BBDC3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C11-42B4-961A-5E650BBDC3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C11-42B4-961A-5E650BBDC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3591631"/>
        <c:axId val="1683591215"/>
      </c:barChart>
      <c:catAx>
        <c:axId val="168359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591215"/>
        <c:crosses val="autoZero"/>
        <c:auto val="1"/>
        <c:lblAlgn val="ctr"/>
        <c:lblOffset val="100"/>
        <c:noMultiLvlLbl val="0"/>
      </c:catAx>
      <c:valAx>
        <c:axId val="1683591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591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педагогами выполнения</a:t>
            </a:r>
            <a:r>
              <a:rPr lang="ru-RU" baseline="0"/>
              <a:t> заданий по уровням в 2021 году в процентах (обществознание)</a:t>
            </a:r>
            <a:endParaRPr lang="ru-RU"/>
          </a:p>
        </c:rich>
      </c:tx>
      <c:layout>
        <c:manualLayout>
          <c:xMode val="edge"/>
          <c:yMode val="edge"/>
          <c:x val="0.1671064814814814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D85-4C80-A898-F3919861A4FC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D85-4C80-A898-F3919861A4FC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D85-4C80-A898-F3919861A4FC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D85-4C80-A898-F3919861A4FC}"/>
              </c:ext>
            </c:extLst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38</c:v>
                </c:pt>
                <c:pt idx="2">
                  <c:v>32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85-4C80-A898-F3919861A4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6D85-4C80-A898-F3919861A4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A-6D85-4C80-A898-F3919861A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3591631"/>
        <c:axId val="1683591215"/>
      </c:barChart>
      <c:catAx>
        <c:axId val="168359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591215"/>
        <c:crosses val="autoZero"/>
        <c:auto val="1"/>
        <c:lblAlgn val="ctr"/>
        <c:lblOffset val="100"/>
        <c:noMultiLvlLbl val="0"/>
      </c:catAx>
      <c:valAx>
        <c:axId val="1683591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591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педагогами выполнения</a:t>
            </a:r>
            <a:r>
              <a:rPr lang="ru-RU" baseline="0"/>
              <a:t> заданий по уровням в 2022 году в процентах (история)</a:t>
            </a:r>
            <a:endParaRPr lang="ru-RU"/>
          </a:p>
        </c:rich>
      </c:tx>
      <c:layout>
        <c:manualLayout>
          <c:xMode val="edge"/>
          <c:yMode val="edge"/>
          <c:x val="0.1671064814814814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161-4035-BBAA-1D08A0FD26DD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161-4035-BBAA-1D08A0FD26DD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161-4035-BBAA-1D08A0FD26DD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161-4035-BBAA-1D08A0FD26DD}"/>
              </c:ext>
            </c:extLst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62</c:v>
                </c:pt>
                <c:pt idx="2">
                  <c:v>38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161-4035-BBAA-1D08A0FD26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6161-4035-BBAA-1D08A0FD26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A-6161-4035-BBAA-1D08A0FD2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3591631"/>
        <c:axId val="1683591215"/>
      </c:barChart>
      <c:catAx>
        <c:axId val="168359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591215"/>
        <c:crosses val="autoZero"/>
        <c:auto val="1"/>
        <c:lblAlgn val="ctr"/>
        <c:lblOffset val="100"/>
        <c:noMultiLvlLbl val="0"/>
      </c:catAx>
      <c:valAx>
        <c:axId val="1683591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591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Цифанова Ирина</cp:lastModifiedBy>
  <cp:revision>351</cp:revision>
  <dcterms:created xsi:type="dcterms:W3CDTF">2022-06-07T11:29:00Z</dcterms:created>
  <dcterms:modified xsi:type="dcterms:W3CDTF">2022-06-10T14:36:00Z</dcterms:modified>
</cp:coreProperties>
</file>